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rFonts w:ascii="Arial" w:hAnsi="Arial"/>
          <w:b/>
          <w:color w:val="BA0C2F"/>
          <w:sz w:val="28"/>
        </w:rPr>
        <w:t>SIARAN PERS</w:t>
      </w:r>
    </w:p>
    <w:p>
      <w:pPr>
        <w:spacing w:before="80" w:after="240"/>
      </w:pPr>
      <w:r>
        <w:rPr>
          <w:rFonts w:ascii="Arial" w:hAnsi="Arial"/>
          <w:b/>
          <w:color w:val="111827"/>
          <w:sz w:val="32"/>
        </w:rPr>
        <w:t>Bawaslu Kabupaten Pekalongan Rilis Video Kaleidoskop Kinerja Semester I Tahun 2026: Komitmen Menjaga Demokrasi di Masa Non-Tahapan</w:t>
      </w:r>
    </w:p>
    <w:p>
      <w:pPr>
        <w:spacing w:after="200" w:line="276" w:lineRule="auto"/>
      </w:pPr>
      <w:r>
        <w:rPr>
          <w:b/>
        </w:rPr>
        <w:t>KAJEN</w:t>
      </w:r>
      <w:r>
        <w:t xml:space="preserve"> – Bawaslu Kabupaten Pekalongan secara resmi merilis video kaleidoskop capaian kinerja Semester I Tahun 2026 melalui kanal YouTube resmi Bawaslu Kabupaten Pekalongan pada Senin, 31 Agustus 2026. Video bertajuk </w:t>
      </w:r>
      <w:r>
        <w:rPr>
          <w:i/>
        </w:rPr>
        <w:t>“Perjalanan Semester 1 tahun 2026 Kaleidoskop Kinerja Bawaslu Kabupaten Pekalongan”</w:t>
      </w:r>
      <w:r>
        <w:t xml:space="preserve"> ini merangkum berbagai langkah strategis, pengawasan, serta inovasi kelembagaan yang telah dilaksanakan sepanjang Januari hingga Juni 2026.</w:t>
      </w:r>
    </w:p>
    <w:p>
      <w:pPr>
        <w:spacing w:after="280" w:line="276" w:lineRule="auto"/>
      </w:pPr>
      <w:r>
        <w:t>Meskipun berada di masa non-tahapan Pemilu, Bawaslu Kabupaten Pekalongan terus bergerak aktif memperkuat kelembagaan, transparansi publik, serta konsolidasi bersama masyarakat.</w:t>
      </w:r>
    </w:p>
    <w:p>
      <w:pPr>
        <w:keepNext/>
        <w:spacing w:before="280" w:after="120"/>
      </w:pPr>
      <w:r>
        <w:rPr>
          <w:rFonts w:ascii="Arial" w:hAnsi="Arial"/>
          <w:b/>
          <w:color w:val="1F2937"/>
          <w:sz w:val="26"/>
        </w:rPr>
        <w:t>1. Pengawasan Pemutakhiran Data Pemilih Berkelanjutan (PDPB)</w:t>
      </w:r>
    </w:p>
    <w:p>
      <w:pPr>
        <w:spacing w:after="120"/>
      </w:pPr>
      <w:r>
        <w:t>Bawaslu memastikan data pemilih terintegrasi, akurat, mutakhir, dan komprehensif secara terus-menerus melalui berbagai langkah pengawasan:</w:t>
      </w:r>
    </w:p>
    <w:p>
      <w:pPr>
        <w:pStyle w:val="ListBullet"/>
        <w:spacing w:after="80"/>
      </w:pPr>
      <w:r>
        <w:rPr>
          <w:b/>
        </w:rPr>
        <w:t xml:space="preserve">Uji Petik &amp; Coktas: </w:t>
      </w:r>
      <w:r>
        <w:t>Melaksanakan uji petik serta pengawasan Pencocokan dan Penelitian Terbatas (Coktas) PDPB Triwulan I dan II di sejumlah desa untuk mencermati pemilih baru, perubahan data, hingga pemilih yang Tidak Memenuhi Syarat (TMS).</w:t>
      </w:r>
    </w:p>
    <w:p>
      <w:pPr>
        <w:pStyle w:val="ListBullet"/>
        <w:spacing w:after="80"/>
      </w:pPr>
      <w:r>
        <w:rPr>
          <w:b/>
        </w:rPr>
        <w:t xml:space="preserve">Saran Perbaikan: </w:t>
      </w:r>
      <w:r>
        <w:t>Dalam rapat pleno rekapitulasi, Bawaslu menyampaikan sejumlah masukan hasil pengawasan, termasuk mendorong penyelesaian data yang belum diproses serta tindak lanjut hasil uji petik.</w:t>
      </w:r>
    </w:p>
    <w:p>
      <w:pPr>
        <w:pStyle w:val="ListBullet"/>
        <w:spacing w:after="160"/>
      </w:pPr>
      <w:r>
        <w:rPr>
          <w:b/>
        </w:rPr>
        <w:t>Hasil Pengawasan Rekapitulasi PDPB KPU Kabupaten Pekalongan:</w:t>
      </w:r>
    </w:p>
    <w:tbl>
      <w:tblPr>
        <w:tblW w:type="auto" w:w="0"/>
        <w:jc w:val="center"/>
        <w:tblLook w:firstColumn="1" w:firstRow="1" w:lastColumn="0" w:lastRow="0" w:noHBand="0" w:noVBand="1" w:val="04A0"/>
      </w:tblPr>
      <w:tblGrid>
        <w:gridCol w:w="2340"/>
        <w:gridCol w:w="2340"/>
        <w:gridCol w:w="2340"/>
        <w:gridCol w:w="2340"/>
      </w:tblGrid>
      <w:tr>
        <w:tc>
          <w:tcPr>
            <w:tcW w:type="dxa" w:w="2340"/>
            <w:shd w:val="clear" w:color="auto" w:fill="1E3A8A"/>
            <w:tcMar>
              <w:top w:w="120" w:type="dxa"/>
              <w:bottom w:w="120" w:type="dxa"/>
              <w:left w:w="150" w:type="dxa"/>
              <w:right w:w="150" w:type="dxa"/>
            </w:tcMar>
          </w:tcPr>
          <w:p>
            <w:pPr>
              <w:jc w:val="center"/>
            </w:pPr>
            <w:r>
              <w:rPr>
                <w:b/>
                <w:color w:val="FFFFFF"/>
              </w:rPr>
              <w:t>Periode PDPB</w:t>
            </w:r>
          </w:p>
        </w:tc>
        <w:tc>
          <w:tcPr>
            <w:tcW w:type="dxa" w:w="2340"/>
            <w:shd w:val="clear" w:color="auto" w:fill="1E3A8A"/>
            <w:tcMar>
              <w:top w:w="120" w:type="dxa"/>
              <w:bottom w:w="120" w:type="dxa"/>
              <w:left w:w="150" w:type="dxa"/>
              <w:right w:w="150" w:type="dxa"/>
            </w:tcMar>
          </w:tcPr>
          <w:p>
            <w:pPr>
              <w:jc w:val="center"/>
            </w:pPr>
            <w:r>
              <w:rPr>
                <w:b/>
                <w:color w:val="FFFFFF"/>
              </w:rPr>
              <w:t>Pemilih Laki-Laki</w:t>
            </w:r>
          </w:p>
        </w:tc>
        <w:tc>
          <w:tcPr>
            <w:tcW w:type="dxa" w:w="2340"/>
            <w:shd w:val="clear" w:color="auto" w:fill="1E3A8A"/>
            <w:tcMar>
              <w:top w:w="120" w:type="dxa"/>
              <w:bottom w:w="120" w:type="dxa"/>
              <w:left w:w="150" w:type="dxa"/>
              <w:right w:w="150" w:type="dxa"/>
            </w:tcMar>
          </w:tcPr>
          <w:p>
            <w:pPr>
              <w:jc w:val="center"/>
            </w:pPr>
            <w:r>
              <w:rPr>
                <w:b/>
                <w:color w:val="FFFFFF"/>
              </w:rPr>
              <w:t>Pemilih Perempuan</w:t>
            </w:r>
          </w:p>
        </w:tc>
        <w:tc>
          <w:tcPr>
            <w:tcW w:type="dxa" w:w="2340"/>
            <w:shd w:val="clear" w:color="auto" w:fill="1E3A8A"/>
            <w:tcMar>
              <w:top w:w="120" w:type="dxa"/>
              <w:bottom w:w="120" w:type="dxa"/>
              <w:left w:w="150" w:type="dxa"/>
              <w:right w:w="150" w:type="dxa"/>
            </w:tcMar>
          </w:tcPr>
          <w:p>
            <w:pPr>
              <w:jc w:val="center"/>
            </w:pPr>
            <w:r>
              <w:rPr>
                <w:b/>
                <w:color w:val="FFFFFF"/>
              </w:rPr>
              <w:t>Total Pemilih</w:t>
            </w:r>
          </w:p>
        </w:tc>
      </w:tr>
      <w:tr>
        <w:tc>
          <w:tcPr>
            <w:tcW w:type="dxa" w:w="2340"/>
            <w:shd w:val="clear" w:color="auto" w:fill="FFFFFF"/>
            <w:tcMar>
              <w:top w:w="100" w:type="dxa"/>
              <w:bottom w:w="100" w:type="dxa"/>
              <w:left w:w="150" w:type="dxa"/>
              <w:right w:w="150" w:type="dxa"/>
            </w:tcMar>
          </w:tcPr>
          <w:p>
            <w:pPr>
              <w:jc w:val="left"/>
            </w:pPr>
            <w:r>
              <w:t>Triwulan I 2026</w:t>
            </w:r>
          </w:p>
        </w:tc>
        <w:tc>
          <w:tcPr>
            <w:tcW w:type="dxa" w:w="2340"/>
            <w:shd w:val="clear" w:color="auto" w:fill="FFFFFF"/>
            <w:tcMar>
              <w:top w:w="100" w:type="dxa"/>
              <w:bottom w:w="100" w:type="dxa"/>
              <w:left w:w="150" w:type="dxa"/>
              <w:right w:w="150" w:type="dxa"/>
            </w:tcMar>
          </w:tcPr>
          <w:p>
            <w:pPr>
              <w:jc w:val="right"/>
            </w:pPr>
            <w:r>
              <w:t>385.540</w:t>
            </w:r>
          </w:p>
        </w:tc>
        <w:tc>
          <w:tcPr>
            <w:tcW w:type="dxa" w:w="2340"/>
            <w:shd w:val="clear" w:color="auto" w:fill="FFFFFF"/>
            <w:tcMar>
              <w:top w:w="100" w:type="dxa"/>
              <w:bottom w:w="100" w:type="dxa"/>
              <w:left w:w="150" w:type="dxa"/>
              <w:right w:w="150" w:type="dxa"/>
            </w:tcMar>
          </w:tcPr>
          <w:p>
            <w:pPr>
              <w:jc w:val="right"/>
            </w:pPr>
            <w:r>
              <w:t>377.372</w:t>
            </w:r>
          </w:p>
        </w:tc>
        <w:tc>
          <w:tcPr>
            <w:tcW w:type="dxa" w:w="2340"/>
            <w:shd w:val="clear" w:color="auto" w:fill="FFFFFF"/>
            <w:tcMar>
              <w:top w:w="100" w:type="dxa"/>
              <w:bottom w:w="100" w:type="dxa"/>
              <w:left w:w="150" w:type="dxa"/>
              <w:right w:w="150" w:type="dxa"/>
            </w:tcMar>
          </w:tcPr>
          <w:p>
            <w:pPr>
              <w:jc w:val="right"/>
            </w:pPr>
            <w:r>
              <w:t>762.912</w:t>
            </w:r>
          </w:p>
        </w:tc>
      </w:tr>
      <w:tr>
        <w:tc>
          <w:tcPr>
            <w:tcW w:type="dxa" w:w="2340"/>
            <w:shd w:val="clear" w:color="auto" w:fill="F3F4F6"/>
            <w:tcMar>
              <w:top w:w="100" w:type="dxa"/>
              <w:bottom w:w="100" w:type="dxa"/>
              <w:left w:w="150" w:type="dxa"/>
              <w:right w:w="150" w:type="dxa"/>
            </w:tcMar>
          </w:tcPr>
          <w:p>
            <w:pPr>
              <w:jc w:val="left"/>
            </w:pPr>
            <w:r>
              <w:t>Triwulan II 2026</w:t>
            </w:r>
          </w:p>
        </w:tc>
        <w:tc>
          <w:tcPr>
            <w:tcW w:type="dxa" w:w="2340"/>
            <w:shd w:val="clear" w:color="auto" w:fill="F3F4F6"/>
            <w:tcMar>
              <w:top w:w="100" w:type="dxa"/>
              <w:bottom w:w="100" w:type="dxa"/>
              <w:left w:w="150" w:type="dxa"/>
              <w:right w:w="150" w:type="dxa"/>
            </w:tcMar>
          </w:tcPr>
          <w:p>
            <w:pPr>
              <w:jc w:val="right"/>
            </w:pPr>
            <w:r>
              <w:t>389.921</w:t>
            </w:r>
          </w:p>
        </w:tc>
        <w:tc>
          <w:tcPr>
            <w:tcW w:type="dxa" w:w="2340"/>
            <w:shd w:val="clear" w:color="auto" w:fill="F3F4F6"/>
            <w:tcMar>
              <w:top w:w="100" w:type="dxa"/>
              <w:bottom w:w="100" w:type="dxa"/>
              <w:left w:w="150" w:type="dxa"/>
              <w:right w:w="150" w:type="dxa"/>
            </w:tcMar>
          </w:tcPr>
          <w:p>
            <w:pPr>
              <w:jc w:val="right"/>
            </w:pPr>
            <w:r>
              <w:t>381.567</w:t>
            </w:r>
          </w:p>
        </w:tc>
        <w:tc>
          <w:tcPr>
            <w:tcW w:type="dxa" w:w="2340"/>
            <w:shd w:val="clear" w:color="auto" w:fill="F3F4F6"/>
            <w:tcMar>
              <w:top w:w="100" w:type="dxa"/>
              <w:bottom w:w="100" w:type="dxa"/>
              <w:left w:w="150" w:type="dxa"/>
              <w:right w:w="150" w:type="dxa"/>
            </w:tcMar>
          </w:tcPr>
          <w:p>
            <w:pPr>
              <w:jc w:val="right"/>
            </w:pPr>
            <w:r>
              <w:t>771.488</w:t>
            </w:r>
          </w:p>
        </w:tc>
      </w:tr>
    </w:tbl>
    <w:p>
      <w:pPr>
        <w:spacing w:before="120"/>
      </w:pPr>
    </w:p>
    <w:p>
      <w:pPr>
        <w:keepNext/>
        <w:spacing w:before="280" w:after="120"/>
      </w:pPr>
      <w:r>
        <w:rPr>
          <w:rFonts w:ascii="Arial" w:hAnsi="Arial"/>
          <w:b/>
          <w:color w:val="1F2937"/>
          <w:sz w:val="26"/>
        </w:rPr>
        <w:t>2. Pengawasan Pemutakhiran Data Partai Politik</w:t>
      </w:r>
    </w:p>
    <w:p>
      <w:pPr>
        <w:spacing w:after="200"/>
      </w:pPr>
      <w:r>
        <w:t xml:space="preserve">Bawaslu mencatat hasil pengawasan Pemutakhiran Data Parpol Secara Berkelanjutan Semester I Tahun 2026, di mana </w:t>
      </w:r>
      <w:r>
        <w:rPr>
          <w:b/>
        </w:rPr>
        <w:t>12 Partai Politik</w:t>
      </w:r>
      <w:r>
        <w:t xml:space="preserve"> aktif melakukan pemutakhiran data, sementara </w:t>
      </w:r>
      <w:r>
        <w:rPr>
          <w:b/>
        </w:rPr>
        <w:t>7 Partai Politik</w:t>
      </w:r>
      <w:r>
        <w:t xml:space="preserve"> tercatat tidak melakukan pemutakhiran.</w:t>
      </w:r>
    </w:p>
    <w:p>
      <w:pPr>
        <w:keepNext/>
        <w:spacing w:before="280" w:after="120"/>
      </w:pPr>
      <w:r>
        <w:rPr>
          <w:rFonts w:ascii="Arial" w:hAnsi="Arial"/>
          <w:b/>
          <w:color w:val="1F2937"/>
          <w:sz w:val="26"/>
        </w:rPr>
        <w:t>3. Edukasi Demokrasi &amp; Pengawasan Partisipatif</w:t>
      </w:r>
    </w:p>
    <w:p>
      <w:pPr>
        <w:pStyle w:val="ListBullet"/>
        <w:spacing w:after="80"/>
      </w:pPr>
      <w:r>
        <w:rPr>
          <w:b/>
        </w:rPr>
        <w:t xml:space="preserve">Pendidikan Pengawas Partisipatif (P2P): </w:t>
      </w:r>
      <w:r>
        <w:t xml:space="preserve">Mengusung tema </w:t>
      </w:r>
      <w:r>
        <w:rPr>
          <w:i/>
        </w:rPr>
        <w:t>“Berfungsi dan Bergerak untuk Pemilu 2029 yang Bermartabat”</w:t>
      </w:r>
      <w:r>
        <w:t>, kegiatan ini digelar di Sanggar Pramuka Karanganyar dengan melibatkan pelajar dari berbagai sekolah.</w:t>
      </w:r>
    </w:p>
    <w:p>
      <w:pPr>
        <w:pStyle w:val="ListBullet"/>
        <w:spacing w:after="80"/>
      </w:pPr>
      <w:r>
        <w:rPr>
          <w:b/>
        </w:rPr>
        <w:t>Bawaslu Goes to Campus &amp; Audiensi:</w:t>
      </w:r>
    </w:p>
    <w:p>
      <w:pPr>
        <w:pStyle w:val="ListBullet2"/>
        <w:spacing w:after="40"/>
      </w:pPr>
      <w:r>
        <w:t>7x Audiensi &amp; Koordinasi bersama SMA di Pekalongan terkait P2P.</w:t>
      </w:r>
    </w:p>
    <w:p>
      <w:pPr>
        <w:pStyle w:val="ListBullet2"/>
        <w:spacing w:after="40"/>
      </w:pPr>
      <w:r>
        <w:t>3x Audiensi &amp; Koordinasi bersama kampus ITS-NU, UIN K.H. Abdurrahman Wahid (Gus Dur), serta Kwarcab Pekalongan.</w:t>
      </w:r>
    </w:p>
    <w:p>
      <w:pPr>
        <w:pStyle w:val="ListBullet2"/>
        <w:spacing w:after="80"/>
      </w:pPr>
      <w:r>
        <w:t>Program Bawaslu Goes to Campus: 10 kegiatan di ITS-NU dan 6 kegiatan di UIN Gus Dur.</w:t>
      </w:r>
    </w:p>
    <w:p>
      <w:pPr>
        <w:pStyle w:val="ListBullet"/>
        <w:spacing w:after="200"/>
      </w:pPr>
      <w:r>
        <w:rPr>
          <w:b/>
        </w:rPr>
        <w:t xml:space="preserve">Konsolidasi Demokrasi: </w:t>
      </w:r>
      <w:r>
        <w:t xml:space="preserve">Terlaksana sebanyak </w:t>
      </w:r>
      <w:r>
        <w:rPr>
          <w:b/>
        </w:rPr>
        <w:t>71 kali kegiatan</w:t>
      </w:r>
      <w:r>
        <w:t xml:space="preserve"> bersama partai politik, mahasiswa, pelajar SMA, perguruan tinggi, organisasi pemuda, pramuka, dan elemen masyarakat umum.</w:t>
      </w:r>
    </w:p>
    <w:p>
      <w:pPr>
        <w:keepNext/>
        <w:spacing w:before="280" w:after="120"/>
      </w:pPr>
      <w:r>
        <w:rPr>
          <w:rFonts w:ascii="Arial" w:hAnsi="Arial"/>
          <w:b/>
          <w:color w:val="1F2937"/>
          <w:sz w:val="26"/>
        </w:rPr>
        <w:t>4. Inovasi Siaran Media &amp; Kehumasan</w:t>
      </w:r>
    </w:p>
    <w:p>
      <w:pPr>
        <w:spacing w:after="120"/>
      </w:pPr>
      <w:r>
        <w:t xml:space="preserve">Sebagai sarana edukasi publik dan modernisasi pengawasan, Bawaslu meluncurkan </w:t>
      </w:r>
      <w:r>
        <w:rPr>
          <w:b/>
        </w:rPr>
        <w:t>Podcast Linggo Asri</w:t>
      </w:r>
      <w:r>
        <w:t xml:space="preserve"> (</w:t>
      </w:r>
      <w:r>
        <w:rPr>
          <w:i/>
        </w:rPr>
        <w:t>Bawaslu Keliling Njogo Demokrasi</w:t>
      </w:r>
      <w:r>
        <w:t>). Program siniar ini membahas isu krusial kepemiluan, pemutakhiran data, evaluasi kinerja, hingga perspektif pemilih pemula di era digital.</w:t>
      </w:r>
    </w:p>
    <w:p>
      <w:pPr>
        <w:spacing w:after="120"/>
      </w:pPr>
      <w:r>
        <w:t>Sepanjang Semester I Tahun 2026, kehumasan Bawaslu telah memproduksi:</w:t>
      </w:r>
    </w:p>
    <w:tbl>
      <w:tblPr>
        <w:tblW w:type="auto" w:w="0"/>
        <w:jc w:val="center"/>
        <w:tblLook w:firstColumn="1" w:firstRow="1" w:lastColumn="0" w:lastRow="0" w:noHBand="0" w:noVBand="1" w:val="04A0"/>
      </w:tblPr>
      <w:tblGrid>
        <w:gridCol w:w="2340"/>
        <w:gridCol w:w="2340"/>
        <w:gridCol w:w="2340"/>
        <w:gridCol w:w="2340"/>
      </w:tblGrid>
      <w:tr>
        <w:tc>
          <w:tcPr>
            <w:tcW w:type="dxa" w:w="2340"/>
            <w:shd w:val="clear" w:color="auto" w:fill="374151"/>
            <w:tcMar>
              <w:top w:w="100" w:type="dxa"/>
              <w:bottom w:w="100" w:type="dxa"/>
              <w:left w:w="100" w:type="dxa"/>
              <w:right w:w="100" w:type="dxa"/>
            </w:tcMar>
          </w:tcPr>
          <w:p>
            <w:pPr>
              <w:jc w:val="center"/>
            </w:pPr>
            <w:r>
              <w:rPr>
                <w:b/>
                <w:color w:val="FFFFFF"/>
              </w:rPr>
              <w:t>Podcast</w:t>
            </w:r>
          </w:p>
        </w:tc>
        <w:tc>
          <w:tcPr>
            <w:tcW w:type="dxa" w:w="2340"/>
            <w:shd w:val="clear" w:color="auto" w:fill="374151"/>
            <w:tcMar>
              <w:top w:w="100" w:type="dxa"/>
              <w:bottom w:w="100" w:type="dxa"/>
              <w:left w:w="100" w:type="dxa"/>
              <w:right w:w="100" w:type="dxa"/>
            </w:tcMar>
          </w:tcPr>
          <w:p>
            <w:pPr>
              <w:jc w:val="center"/>
            </w:pPr>
            <w:r>
              <w:rPr>
                <w:b/>
                <w:color w:val="FFFFFF"/>
              </w:rPr>
              <w:t>Artikel Berita</w:t>
            </w:r>
          </w:p>
        </w:tc>
        <w:tc>
          <w:tcPr>
            <w:tcW w:type="dxa" w:w="2340"/>
            <w:shd w:val="clear" w:color="auto" w:fill="374151"/>
            <w:tcMar>
              <w:top w:w="100" w:type="dxa"/>
              <w:bottom w:w="100" w:type="dxa"/>
              <w:left w:w="100" w:type="dxa"/>
              <w:right w:w="100" w:type="dxa"/>
            </w:tcMar>
          </w:tcPr>
          <w:p>
            <w:pPr>
              <w:jc w:val="center"/>
            </w:pPr>
            <w:r>
              <w:rPr>
                <w:b/>
                <w:color w:val="FFFFFF"/>
              </w:rPr>
              <w:t>Konten Grafis</w:t>
            </w:r>
          </w:p>
        </w:tc>
        <w:tc>
          <w:tcPr>
            <w:tcW w:type="dxa" w:w="2340"/>
            <w:shd w:val="clear" w:color="auto" w:fill="374151"/>
            <w:tcMar>
              <w:top w:w="100" w:type="dxa"/>
              <w:bottom w:w="100" w:type="dxa"/>
              <w:left w:w="100" w:type="dxa"/>
              <w:right w:w="100" w:type="dxa"/>
            </w:tcMar>
          </w:tcPr>
          <w:p>
            <w:pPr>
              <w:jc w:val="center"/>
            </w:pPr>
            <w:r>
              <w:rPr>
                <w:b/>
                <w:color w:val="FFFFFF"/>
              </w:rPr>
              <w:t>Video Reels</w:t>
            </w:r>
          </w:p>
        </w:tc>
      </w:tr>
      <w:tr>
        <w:tc>
          <w:tcPr>
            <w:tcW w:type="dxa" w:w="2340"/>
            <w:shd w:val="clear" w:color="auto" w:fill="F9FAFB"/>
            <w:tcMar>
              <w:top w:w="100" w:type="dxa"/>
              <w:bottom w:w="100" w:type="dxa"/>
              <w:left w:w="100" w:type="dxa"/>
              <w:right w:w="100" w:type="dxa"/>
            </w:tcMar>
          </w:tcPr>
          <w:p>
            <w:pPr>
              <w:jc w:val="center"/>
            </w:pPr>
            <w:r>
              <w:rPr>
                <w:b/>
                <w:sz w:val="24"/>
              </w:rPr>
              <w:t>24</w:t>
            </w:r>
          </w:p>
        </w:tc>
        <w:tc>
          <w:tcPr>
            <w:tcW w:type="dxa" w:w="2340"/>
            <w:shd w:val="clear" w:color="auto" w:fill="F9FAFB"/>
            <w:tcMar>
              <w:top w:w="100" w:type="dxa"/>
              <w:bottom w:w="100" w:type="dxa"/>
              <w:left w:w="100" w:type="dxa"/>
              <w:right w:w="100" w:type="dxa"/>
            </w:tcMar>
          </w:tcPr>
          <w:p>
            <w:pPr>
              <w:jc w:val="center"/>
            </w:pPr>
            <w:r>
              <w:rPr>
                <w:b/>
                <w:sz w:val="24"/>
              </w:rPr>
              <w:t>58</w:t>
            </w:r>
          </w:p>
        </w:tc>
        <w:tc>
          <w:tcPr>
            <w:tcW w:type="dxa" w:w="2340"/>
            <w:shd w:val="clear" w:color="auto" w:fill="F9FAFB"/>
            <w:tcMar>
              <w:top w:w="100" w:type="dxa"/>
              <w:bottom w:w="100" w:type="dxa"/>
              <w:left w:w="100" w:type="dxa"/>
              <w:right w:w="100" w:type="dxa"/>
            </w:tcMar>
          </w:tcPr>
          <w:p>
            <w:pPr>
              <w:jc w:val="center"/>
            </w:pPr>
            <w:r>
              <w:rPr>
                <w:b/>
                <w:sz w:val="24"/>
              </w:rPr>
              <w:t>121</w:t>
            </w:r>
          </w:p>
        </w:tc>
        <w:tc>
          <w:tcPr>
            <w:tcW w:type="dxa" w:w="2340"/>
            <w:shd w:val="clear" w:color="auto" w:fill="F9FAFB"/>
            <w:tcMar>
              <w:top w:w="100" w:type="dxa"/>
              <w:bottom w:w="100" w:type="dxa"/>
              <w:left w:w="100" w:type="dxa"/>
              <w:right w:w="100" w:type="dxa"/>
            </w:tcMar>
          </w:tcPr>
          <w:p>
            <w:pPr>
              <w:jc w:val="center"/>
            </w:pPr>
            <w:r>
              <w:rPr>
                <w:b/>
                <w:sz w:val="24"/>
              </w:rPr>
              <w:t>83</w:t>
            </w:r>
          </w:p>
        </w:tc>
      </w:tr>
    </w:tbl>
    <w:p>
      <w:pPr>
        <w:spacing w:before="120"/>
      </w:pPr>
    </w:p>
    <w:p>
      <w:pPr>
        <w:keepNext/>
        <w:spacing w:before="280" w:after="120"/>
      </w:pPr>
      <w:r>
        <w:rPr>
          <w:rFonts w:ascii="Arial" w:hAnsi="Arial"/>
          <w:b/>
          <w:color w:val="1F2937"/>
          <w:sz w:val="26"/>
        </w:rPr>
        <w:t>5. Keterbukaan Informasi Publik &amp; Tata Kelola Kelembagaan</w:t>
      </w:r>
    </w:p>
    <w:p>
      <w:pPr>
        <w:pStyle w:val="ListBullet"/>
        <w:spacing w:after="80"/>
      </w:pPr>
      <w:r>
        <w:rPr>
          <w:b/>
        </w:rPr>
        <w:t xml:space="preserve">Pelayanan Informasi: </w:t>
      </w:r>
      <w:r>
        <w:t>Menyampaikan Laporan Layanan Informasi Publik Tahun 2025 ke Komisi Informasi Jawa Tengah dan saat ini tengah menjalani proses Monitoring dan Evaluasi (Monev) Pelayanan Informasi Publik sebagai bentuk komitmen pada transparansi.</w:t>
      </w:r>
    </w:p>
    <w:p>
      <w:pPr>
        <w:pStyle w:val="ListBullet"/>
        <w:spacing w:after="80"/>
      </w:pPr>
      <w:r>
        <w:rPr>
          <w:b/>
        </w:rPr>
        <w:t xml:space="preserve">Peningkatan Kapasitas SDM: </w:t>
      </w:r>
      <w:r>
        <w:t>Terlaksana 4x Sharing Session internal serta Dialog Virtual Penanganan Pelanggaran bertema “Pengelolaan Barang Dugaan Pelanggaran Pemilu/Pemilihan”.</w:t>
      </w:r>
    </w:p>
    <w:p>
      <w:pPr>
        <w:pStyle w:val="ListBullet"/>
        <w:spacing w:after="80"/>
      </w:pPr>
      <w:r>
        <w:rPr>
          <w:b/>
        </w:rPr>
        <w:t xml:space="preserve">Penyegaran Kultural &amp; Kerohanian: </w:t>
      </w:r>
      <w:r>
        <w:t>Program Jum'at Sehati, Jumpa Berlian, Bawaslu Mengaji (Virtual) bersama Dr. H. Nuridin, S.Ag., M.Pd., serta program Ngabuburit Pengawasan berbasis podcast.</w:t>
      </w:r>
    </w:p>
    <w:p>
      <w:pPr>
        <w:pStyle w:val="ListBullet"/>
        <w:spacing w:after="200"/>
      </w:pPr>
      <w:r>
        <w:rPr>
          <w:b/>
        </w:rPr>
        <w:t xml:space="preserve">Keselamatan Kerja: </w:t>
      </w:r>
      <w:r>
        <w:t>Pembuatan Video Safety Briefing penanganan musibah kebakaran di lingkungan kantor.</w:t>
      </w:r>
    </w:p>
    <w:p>
      <w:pPr>
        <w:spacing w:before="160" w:after="280"/>
      </w:pPr>
      <w:r>
        <w:t>Rangkaian capaian dalam video kaleidoskop ini merupakan sebagian dari representasi kerja keras Bawaslu Kabupaten Pekalongan dalam menjaga kualitas demokrasi. Berbagai agenda pengawasan dan penguatan kelembagaan lainnya terus berjalan secara konsisten demi menyongsong Pemilu 2029 yang bermartabat.</w:t>
      </w:r>
    </w:p>
    <w:p>
      <w:r>
        <w:rPr>
          <w:i/>
          <w:color w:val="6B7280"/>
          <w:sz w:val="20"/>
        </w:rPr>
        <w:t>*Video Kaleidoskop Kinerja Semester I Tahun 2026 dapat disaksikan selengkapnya di kanal YouTube resmi Bawaslu Kab Pekalongan.*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